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AB21A">
      <w:pPr>
        <w:spacing w:line="220" w:lineRule="atLeast"/>
        <w:ind w:right="920"/>
        <w:jc w:val="both"/>
        <w:rPr>
          <w:rFonts w:hint="eastAsia" w:ascii="Times New Roman" w:hAnsi="Times New Roman" w:eastAsia="楷体" w:cs="楷体"/>
          <w:b/>
          <w:sz w:val="32"/>
          <w:szCs w:val="32"/>
        </w:rPr>
      </w:pPr>
      <w:r>
        <w:rPr>
          <w:rFonts w:hint="eastAsia" w:ascii="Times New Roman" w:hAnsi="Times New Roman" w:eastAsia="楷体" w:cs="楷体"/>
          <w:b/>
          <w:sz w:val="32"/>
          <w:szCs w:val="32"/>
        </w:rPr>
        <w:t>附件：</w:t>
      </w:r>
    </w:p>
    <w:p w14:paraId="21BE5F34">
      <w:pPr>
        <w:spacing w:line="220" w:lineRule="atLeast"/>
        <w:jc w:val="center"/>
        <w:rPr>
          <w:rFonts w:ascii="Times New Roman" w:hAnsi="Times New Roman" w:eastAsia="楷体" w:cs="楷体"/>
          <w:b/>
          <w:bCs/>
          <w:sz w:val="36"/>
          <w:szCs w:val="36"/>
        </w:rPr>
      </w:pPr>
      <w:r>
        <w:rPr>
          <w:rFonts w:hint="eastAsia" w:ascii="Times New Roman" w:hAnsi="Times New Roman" w:eastAsia="楷体" w:cs="楷体"/>
          <w:b/>
          <w:bCs/>
          <w:sz w:val="36"/>
          <w:szCs w:val="36"/>
        </w:rPr>
        <w:t>202</w:t>
      </w:r>
      <w:r>
        <w:rPr>
          <w:rFonts w:hint="eastAsia" w:ascii="Times New Roman" w:hAnsi="Times New Roman" w:eastAsia="楷体" w:cs="楷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Times New Roman" w:hAnsi="Times New Roman" w:eastAsia="楷体" w:cs="楷体"/>
          <w:b/>
          <w:bCs/>
          <w:sz w:val="36"/>
          <w:szCs w:val="36"/>
        </w:rPr>
        <w:t>年</w:t>
      </w:r>
      <w:r>
        <w:rPr>
          <w:rFonts w:hint="eastAsia" w:ascii="Times New Roman" w:hAnsi="Times New Roman" w:eastAsia="楷体" w:cs="楷体"/>
          <w:b/>
          <w:bCs/>
          <w:sz w:val="36"/>
          <w:szCs w:val="36"/>
          <w:lang w:eastAsia="zh-CN"/>
        </w:rPr>
        <w:t>安徽工程大学</w:t>
      </w:r>
      <w:r>
        <w:rPr>
          <w:rFonts w:hint="eastAsia" w:ascii="Times New Roman" w:hAnsi="Times New Roman" w:eastAsia="楷体" w:cs="楷体"/>
          <w:b/>
          <w:bCs/>
          <w:sz w:val="36"/>
          <w:szCs w:val="36"/>
        </w:rPr>
        <w:t>劳动教育十大典型案例</w:t>
      </w:r>
    </w:p>
    <w:tbl>
      <w:tblPr>
        <w:tblStyle w:val="5"/>
        <w:tblW w:w="90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2828"/>
        <w:gridCol w:w="3787"/>
        <w:gridCol w:w="1676"/>
      </w:tblGrid>
      <w:tr w14:paraId="4909DE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730" w:type="dxa"/>
            <w:vAlign w:val="center"/>
          </w:tcPr>
          <w:p w14:paraId="4765BAA0"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828" w:type="dxa"/>
            <w:vAlign w:val="center"/>
          </w:tcPr>
          <w:p w14:paraId="31F3A99A"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学院（部门）</w:t>
            </w:r>
          </w:p>
        </w:tc>
        <w:tc>
          <w:tcPr>
            <w:tcW w:w="3787" w:type="dxa"/>
            <w:vAlign w:val="center"/>
          </w:tcPr>
          <w:p w14:paraId="2370D466">
            <w:pPr>
              <w:spacing w:after="0" w:line="220" w:lineRule="atLeast"/>
              <w:jc w:val="center"/>
              <w:rPr>
                <w:rFonts w:hint="default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案例名称</w:t>
            </w:r>
          </w:p>
        </w:tc>
        <w:tc>
          <w:tcPr>
            <w:tcW w:w="1676" w:type="dxa"/>
            <w:vAlign w:val="center"/>
          </w:tcPr>
          <w:p w14:paraId="0FBBA90D"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案例</w:t>
            </w:r>
          </w:p>
          <w:p w14:paraId="600C2EE3">
            <w:pPr>
              <w:spacing w:after="0" w:line="22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负责人</w:t>
            </w:r>
          </w:p>
        </w:tc>
      </w:tr>
      <w:tr w14:paraId="10CB12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exact"/>
        </w:trPr>
        <w:tc>
          <w:tcPr>
            <w:tcW w:w="730" w:type="dxa"/>
            <w:tcBorders>
              <w:bottom w:val="single" w:color="auto" w:sz="4" w:space="0"/>
            </w:tcBorders>
            <w:vAlign w:val="center"/>
          </w:tcPr>
          <w:p w14:paraId="0139FF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828" w:type="dxa"/>
            <w:tcBorders>
              <w:bottom w:val="single" w:color="auto" w:sz="4" w:space="0"/>
            </w:tcBorders>
            <w:vAlign w:val="center"/>
          </w:tcPr>
          <w:p w14:paraId="450F18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生物与食品工程学院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63B5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从“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装点一面墙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”到“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温暖一座城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”——“杏”福满江城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落叶作画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劳动实践项目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4F5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何祥玲</w:t>
            </w:r>
          </w:p>
        </w:tc>
      </w:tr>
      <w:tr w14:paraId="1F4E4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15796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22482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人</w:t>
            </w:r>
            <w:bookmarkStart w:id="0" w:name="_GoBack"/>
            <w:r>
              <w:rPr>
                <w:rFonts w:hint="eastAsia" w:ascii="仿宋" w:hAnsi="仿宋" w:eastAsia="仿宋" w:cs="仿宋"/>
                <w:sz w:val="28"/>
                <w:szCs w:val="28"/>
              </w:rPr>
              <w:t>文学院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人文素质教育中心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C35FB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校地协同育新人，劳动实践助振兴——龙山“爱心学堂”劳动教育实践基地建设案例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E01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章雪平</w:t>
            </w:r>
          </w:p>
        </w:tc>
      </w:tr>
      <w:tr w14:paraId="7AD22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30" w:type="dxa"/>
            <w:tcBorders>
              <w:top w:val="single" w:color="auto" w:sz="4" w:space="0"/>
            </w:tcBorders>
            <w:vAlign w:val="center"/>
          </w:tcPr>
          <w:p w14:paraId="61C5E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0DC31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外国语学院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49DF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“产、学、研、教、创、党建”六位一体的劳动教育实践基地建设案例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C1C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苏涛</w:t>
            </w:r>
          </w:p>
        </w:tc>
      </w:tr>
      <w:tr w14:paraId="5C6FA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730" w:type="dxa"/>
            <w:vAlign w:val="center"/>
          </w:tcPr>
          <w:p w14:paraId="0DDF6A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60312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经济与管理学院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E3C6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智慧物流场景模拟与实战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8DB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程永宏</w:t>
            </w:r>
          </w:p>
        </w:tc>
      </w:tr>
      <w:tr w14:paraId="427FE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730" w:type="dxa"/>
            <w:tcBorders>
              <w:bottom w:val="single" w:color="auto" w:sz="4" w:space="0"/>
            </w:tcBorders>
            <w:vAlign w:val="center"/>
          </w:tcPr>
          <w:p w14:paraId="1CA53C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05C79E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数理与金融学院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81A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大思政课程视域下“五育融合”的实践进路与模式创新——以手工艺创作为载体的育人实践为例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7B90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程安琪</w:t>
            </w:r>
          </w:p>
        </w:tc>
      </w:tr>
      <w:tr w14:paraId="7882B6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730" w:type="dxa"/>
            <w:tcBorders>
              <w:top w:val="single" w:color="auto" w:sz="4" w:space="0"/>
            </w:tcBorders>
            <w:vAlign w:val="center"/>
          </w:tcPr>
          <w:p w14:paraId="1C815C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39F5B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人工智能学院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300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“麦香塑韵·匠心传承”——山西花馍非遗劳动教育融合实践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A6DA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张璐</w:t>
            </w:r>
          </w:p>
        </w:tc>
      </w:tr>
      <w:tr w14:paraId="358A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730" w:type="dxa"/>
            <w:vAlign w:val="center"/>
          </w:tcPr>
          <w:p w14:paraId="73765C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C4CA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生物与食品工程学院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7B00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九秩织梦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F97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王玲玲</w:t>
            </w:r>
          </w:p>
        </w:tc>
      </w:tr>
      <w:tr w14:paraId="4338BE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730" w:type="dxa"/>
            <w:vAlign w:val="center"/>
          </w:tcPr>
          <w:p w14:paraId="552A30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B05C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材料科学与工程学院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F8B4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陶瓷工艺与制作劳动实践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A62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刘立强</w:t>
            </w:r>
          </w:p>
        </w:tc>
      </w:tr>
      <w:tr w14:paraId="679E3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730" w:type="dxa"/>
            <w:vAlign w:val="center"/>
          </w:tcPr>
          <w:p w14:paraId="668DDF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28D01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化学与环境工程学院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A3F4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以劳育智，探索微观世界——《细菌培养与显微镜观察》劳动实践课程案例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7B6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胡颖</w:t>
            </w:r>
          </w:p>
        </w:tc>
      </w:tr>
      <w:tr w14:paraId="3E800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730" w:type="dxa"/>
            <w:vAlign w:val="center"/>
          </w:tcPr>
          <w:p w14:paraId="021E76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282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2B91D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计算机与信息学院</w:t>
            </w:r>
          </w:p>
        </w:tc>
        <w:tc>
          <w:tcPr>
            <w:tcW w:w="3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AA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数智赋能，“饺”润匠心——数字化劳动教育创新实践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132D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魏晓飞</w:t>
            </w:r>
          </w:p>
        </w:tc>
      </w:tr>
    </w:tbl>
    <w:p w14:paraId="1EBB800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